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жалобы о неправильном определении судами количества дней просрочки не может служить безусловным основанием для отмены принятых судебных актов, поскольку данное обстоятельство не привело к принятию неверного решения по существу спора и может быть устранено в порядке статьи 179 Арбитражного процессуального кодекса Российской Федерации с учетом отсутствия возражений относительно установленного периода просрочки с 30.08.2018 по 24.02.2021. Выраженное в жалобе несогласие с выводами судов направлено на переоценку представленных в материалы дела доказательств, что не относится к полномочиям кассационной инстанции Верховного Суда Российской 2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