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12.08.2021 (с учетом определений от 12.08.2021 и от 13.01.2022 об исправлении опечаток и арифметических ошибок), оставленным без изменения постановлением Тринадцатого арбитражного апелляционного суда от 24.01.2022 и постановлением Арбитражного суда Северо-Западного округа от 30.05.2022, с предприятия в пользу общества взыскано 17 613 740 руб. задолженности по оплате оказанных услуг, 524 069 руб. процентов за пользование чужими денежными средствами, 84 696 руб. расходов по уплате государственной пошлины,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в части отказа 2 в удовлетворении исковых требований и направить дело в этой части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Разрешая спор и отказывая в удовлетворении исковых требований в обжалуемой части, суды первой и апелляционной инстанций руководствовались статьями 309, 779, 781 Гражданского кодекса Российской Федерации, положениями Федерального закона от 21.07.2011 № 256-ФЗ «О безопасности объектов топливно-энергетического комплекса»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(исполнитель) обязательств по спорному договору, исходили из обоснованности начисления предприятием (заказчик) штрафа на основании пункта 6.2 договора и его удержания последним в счет оплаты стоимости работ в соответствии с пунктом 6.5 договора.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«Частное агентство по охране «Аргус»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