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кассационной жалобы, судами установлено, что АНО «Санаторное объединение» и ООО «ЦРП «Радуга» не образуют группу лиц в понимании, изложенном в части 1 статьи 9 , части 8 статьи 11 Федерального закона от 26.07.2006 № 135-ФЗ «О защите конкуренции», в связи с чем на них не распространяется иммунитет, предусмотренный частью 7 статьи 11 названного Закона. При этом учитывая сроки давности, суды отметили, что аукционы с реестровыми № 0165100008117000066, № 0165100008117000068 не подлежат квалификации со стороны антимонопольного органа и свидетельствуют о заключении устного картельного соглашения, реализация которого могла привести к поддержанию цен только на двух торгах с реестровыми № 0809500000318000484 и № 0158100016018000020. Переоценка доказательств и установление по делу иных фактических обстоятельств в полномочия Судебной коллегии Верховного Суда Российской Федерации не входит.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«Санаторное объединение»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АНО "Санаторное объединение" (подробнее) Ответчики: Управление Федеральной антимонопольной службы по г. Москве (подробнее)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