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Приведенные в жалобе доводы фактически сводятся к несогласию с выводами судов по обстоятельствам дела, свидетельствующим о ненадлежащем исполнении условий контракта, связанных с выполнением работ. Вместе с тем переоценка представленных в материалы дела доказательств и фактических обстоятельств спора не относится к полномочиям Судебной коллегии Верховного Суда Российской Федерации.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«Белогорскремстройсервис»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