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ходатайством об утверждении его отчёта о ходе процедуры конкурсного производства и введении в отношении должника процедуры финансового оздоровления. Определением Арбитражного суда Омской области от 11.10.2021, оставленным без изменения постановлением Восьмого арбитражного апелляционного суда от 04.02.2022, ходатайство удовлетворено. Постановлением Арбитражного суда Западно-Сибирского округа от 06.06.2022 вышеуказанные судебные акты отменены, принят новый судебный акт об отказе во введении процедуры финансового оздоровления и утверждения графика финансового оздоровления.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суд округа, руководствуясь статьями 75, 76, 146 Федерального закона от 26.10.2002 № 127-ФЗ «О несостоятельности (банкротстве)», не установил оснований для введения процедуры финансового оздоровления. Суд округа исходил из того, что повторное применение реабилитационной процедуры к должнику, находящемуся в конкурсном производстве, положениями законодательства о банкротстве не предусмотрено, утверждённый график погашения задолженности нарушал права и законные интересы кредиторов, а возможность реализации единственным участником должника своего намерения сохранить имущество и вывести должника из процедуры банкротства им не утрачена.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(или) норм процессуального права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«АВА Компани» Лагоде Максиму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