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требований в размере 3 079 300 рублей. Определением Арбитражного суда Республики Бурятия от 10.01.2022, оставленным без изменения постановлениями Четвёртого арбитражного апелляционного суда от 02.03.2022 и Арбитражного суд Восточно-Сибирского округа от 23.05.2022,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100 Федерального закона от 26.10.2002 № 127-ФЗ «О несостоятельности (банкротстве)», установив, что в рамках отношений, положенных в основу настоящего требования общества, должник полностью погасил свои обязательства по оплате выполненных работ, пришли к выводу о недоказанности причин для удовлетворения требований по заявленным основаниям.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«Статус»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