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17.08.2021, оставленным без изменения постановлениями Тринадцатого арбитражного апелляционного суда от 24.12.2021 и Арбитражного суда Северо-Западного округа от 05.04.2022, исковое требование удовлетворено.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права, просит в удовлетворении иска отказать.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(заказчик) и обществом (подрядчик) заключен государственный контракт на выполнение работ по геологическому изучению недр и воспроизводству 2 минеральносырьевой базы по объекту «Поисковые работы на металлы платиновой группы в пределах массива Поаз Мончегорского рудного района (Мурманская область)». Просрочка подрядчика в исполнении обязанности по предоставлению акта выполненных работ и отчетных материалов по выполнению работ за подэтап II этапа 2 послужила основанием для обращения департамента в арбитражный суд с иском о взыскании неустойки.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 трех инстанций пришли к выводу о наличии у заказчика оснований для начисления подрядчику неустойки за просрочку выполнения работ.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«Росгеология»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