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Чернова А.И. определениями Арбитражного суда Удмуртской Республики от 15.03.2021 и от 22.03.2021 признаны недействительными сделками договоры дарения имущества, принадлежащего должнику (автомобиля, объекта незавершенного строительства и земельного участка), и применены последствия недействительности сделок в виде восстановления права собственности должника. Чернов А.И. обратился в Арбитражный суд Удмуртской Республики с заявлением о пересмотре указанных судебных актов по вновь открывшимся обстоятельствам. Определением Арбитражного суда Удмуртской Республики от 23.12.2021 в удовлетворении заявления отказано. Постановлением Семнадцатого арбитражного апелляционного суда от 11.03.2022 определение суда первой инстанции оставлено без изменения. Арбитражный суд Уральского округа постановлением от 10.06.2022 указанные судебные акты оставил без изменения. 2 Чернов А.И.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Учитывая конкретные фактические обстоятельства спора, суды пришли к выводу, что указанные должником обстоятельства и представленные доказательства, на которые должник ссылается как на вновь открывшиеся, не отвечают требованиям, предусмотренным статьей 311 Арбитражного процессуального кодекса Российской Федерации, и не влекут пересмотр судебных актов о признании сделок недействительными.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