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Павилайнена М.В. в Арбитражный суд города Санкт-Петербурга и Ленинградской области обратился индивидуальный предприниматель Павилайнен Р.В. с заявлением о включении в реестр требований кредиторов должника 8 668 744 рублей 99 копеек задолженности по договору займа. Определением Арбитражного суда города Санкт-Петербурга и Ленинградской области от 17.11.2021 заявление удовлетворено, требование кредитора включено в третью очередь реестра требований кредиторов должника. Постановлением Тринадцатого арбитражного апелляционного суда от 11.02.2022 определение суда первой инстанции оставлено без изменения. Арбитражный суд Северо-Западного округа постановлением от 01.06.2022 указанные судебные акты оставил без изменения. Павилайнен М.В.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329, 330, 819 Гражданского кодекса Российской Федерации, статьями 16, 71, 100, 142, 213.8 Федерального закона от 26.10.2002 № 127-ФЗ «О несостоятельности (банкротстве)» и исходили из доказанности факта предоставления должнику заемных денежных средств и наличия у должника перед кредитором неисполненных обязательств по возврату займа.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