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статьей 29111 Арбитражного процессуального кодекса Российской Федерации,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Признавая представление прокуратуры Октябрьского района города Красноярска законным, суды трех инстанций исходили из установления факта передачи заявителем в безвозмездное пользование объектов движимого имущества, приобретенных за счет средств бюджетной системы и учтенных в качестве особо ценного движимого имущества в реестре федеральной собственности, в отсутствие согласия собственника - Российской Федерации. Доводы, изложенные в кассационной жалобе, повторяют позицию заявителя по спору, были предметом рассмотрения судов и получили надлежащую правовую оценку с учетом установленных обстоятельств дела. Несогласие с выводами судов, иная оценка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могут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автономному образовательному учреждению высшего образования «Сибирский федеральный университет»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ФЕДЕРАЛЬНОЕ ГОСУДАРСТВЕННОЕ АВТОНОМНОЕ ОБРАЗОВАТЕЛЬНОЕ УЧРЕЖДЕНИЕ ВЫСШЕГО ОБРАЗОВАНИЯ "СИБИРСКИЙ ФЕДЕРАЛЬНЫЙ УНИВЕРСИТЕТ" (подробнее) Ответчики: Прокурата Октябрьского района г. Красноярска (подробнее) Иные лица: АС ВСО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