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16.12.2021, оставленным без изменения постановлением Пятого арбитражного апелляционного суда от 05.03.2022 и постановлением Арбитражного суда Дальневосточного округа от 15.06.2022, в удовлетворении иска отказано. В кассационной жалобе общество «ИнжТрансСтрой» просит об отмене судебных актов, ссылаясь на неустановление истинных величин для расчета сальдо встречных обязательств, принятие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 оводами жалобы не усматривается. Приведенные в жалобе доводы противоречат установленным судами обстоятельствам. Вопросы доказывания и оценки доказательств не создают указанных оснований для кассационного пересмотра судебных актов. С общества «ИнжТрансСтрой» подлежит взысканию государственная пошлина за подачу кассационной жалобы, отсрочка уплаты которой предоставлялась.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«ИнжТрансСтрой» в доход федерального бюджета 3 000 (три тысячи) рублей государственной пошлины за подачу кассационной жалобы. Поручить Арбитражному суду Приморского края выдать исполнительный лист.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