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05.10.2021, оставленным без изменения постановлением Третьего арбитражного 2 апелляционного суда от 08.02.2022 и постановлением Арбитражного суда Восточно-Сибирского округа от 26.05.2022, с общества «Новый Город» в пользу общества «Паритет» взыскано 90 301 руб. 20 коп. убытков (стоимости устранения недостатков), 10 000 руб. неустойки, 45 000 руб. судебных издержек, в удовлетворении остальной части исковых требований отказано.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заявителя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заключенный между Сараевым М.Б., Пашкеевой А.В. и обществом «Паритет» договор цессии от 25.11.2020 не противоречит требованиям законодательства и не оспорен в предусмотренном порядке, учитывая признание ответчиком обстоятельств, на которых истец основывал свои требования (в частности, стоимость устранения строительных недостатков), признав доказанным факт несения расходов по оплате проведенной экспертизы, принимая во внимание заявление ответчика о снижении размера неустойки ввиду ее явной несоразмерности последствиям нарушения обязательства, суды первой и апелляционной инстанций пришли к выводу о наличии оснований для частичного удовлетворения исковых требований, с чем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Производственная компания «Современные окна»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