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23.12.2021, оставленным без изменения постановлением Седьмого арбитражного апелляционного суда от 05.03.2022 и постановлением Арбитражного суда Западно-Сибирского округа от 20.05.2022, в удовлетворении заявления отказано. В кассационной жалобе Гюнтер А.Н. просит об отмене судебных актов, ссылаясь на соответствие требования о вознаграждении достигнутому по делу результату.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условий для получения управляющим дополнительного вознаграждения. Иная оценка управляющим своей деятельности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Гюнтер 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