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26.11.2021, оставленным без изменения постановлением Одиннадцатого арбитражного апелляционного суда от 18.02.2022 и постановлением Арбитражного суда Поволжского округа от 19.05.2022, взыскано 184 315 рублей 92 копеек задолженности, 9 215 рублей 80 копеек неустойки, 338 рублей 89 копеек почтовых и судебных расходов. В кассационной жалобе предприниматель просит об отмене судебных актов, ссылаясь на расторжение договора в противоречие с его условиями и несоответствие выводов об обстоятельствах оказания услуг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заказчика на отказ от договора оказания услуг, к каковым относится договор на оказание транспортных услуг от 13.02.2020 № 136020/00148Д, и последствия такого отказа предусмотрены пунктом 1 статьи 782 Гражданского кодекса Российской Федерации. Фактически понесенные на исполнение договора расходы взысканы в сумме, признанной судами подтвержденной. Оценка доказательств оказания услуг отнесена к компетенции судов и требуемое ее изменение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Каплуну А.М.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