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Ханты-Мансийского автономного округа – Югры от 25.12.2020 в удовлетворении заявления отказано. Восьмой арбитражный апелляционный суд постановлением от 27.01.2022 отменил определение от 25.12.2020 и заявление удовлетворил. Арбитражный суд Западно-Сибирского округа постановлением от 31.05.2022 постановление апелляционного суда от 27.01.2022 оставил без изменения. В кассационных жалобах Востриков Е.Н. и Тютикова С.А. просят об отмене судебных актов апелляционного и окружного судов, ссылаясь на ненадлежащую оценку обстоятельств совершения сделок и пропуск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в силу статей 10, 168, 170 Гражданского кодекса Российской Федерации признал оспариваемые договоры купли-продажи единой сделкой, прикрывающей сделку по фактическому безвозмездному отчуждению имущества должника, совершенную во вред кредиторам. Срок исковой давности исчислен в соответствии с пунктом 1 статьи 181 Гражданского кодекса Российской Федерации и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Иная оценка заявителями установленных обстоятельств заключения сделок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гражданам Вострикову Е.Н. и Тютиковой С.А.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