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21 сентября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определением Арбитражного суда Республики Саха (Якутия) от 09.02.2022 заявление удовлетворено. Четвертый арбитражный апелляционный суд постановлением от 07.04.2022 отменил определение от 09.02.2022 и в удовлетворении заявления отказал. Арбитражный суд Восточно-Сибирского округа постановлением от 16.06.2022 отменил постановление апелляционного суда от 07.04.2022 и оставил в силе определение от 09.02.2022. В кассационной жалобе Сулайманов А.М. просит об отмене постановления окружного суда, ссылаясь на пропуск срока для включения спорного требования в реестр как обеспеченного залогом. В силу части 1 статьи 291.11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2 иной экономической деятельности, а также защита охраняемых законом публичных интересов. Таких оснований в связи с доводами жалобы не усматривается. Суд округа установил отсутствие основания для отмены определения суда первой инстанции в связи с фактическим нерассмотрением своевременно заявленного требования о залоговом статусе задолженности перед кредитором, поэтому отменил постановление апелляционной инстанции в соответствии со статьями 286, 287 Арбитражного процессуального кодекса Российской Федерации. Руководствуясь статьями 291.6, 291.8,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Сулайманову А.М.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 Ксенофонтова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