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19.10.2021, оставленным без изменения постановлением Тринадцатого арбитражного апелляционного суда от 21.02.2022 и постановлением Арбитражного суда Северо-Западного округа от 07.06.2022, в удовлетворении иска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удовлетворении иска.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существенного нарушения предпринимателем условий спорного договора, руководствуясь статьями 309, 310, 450, 779, 782, 783 Гражданского кодекса Российской Федерации, суды первой и апелляционной инстанций пришли к выводу о правомерности решения учреждения об одностороннем отказе от исполнения договора, в связи с чем отказали в удовлетворении иска.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Бессонова Михаила Сергеевича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