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28.12.2021 завершена процедура реализации имущества гражданина ФИО1 и он освобожден от дальнейшего исполнения требований кредиторов, в том числе не заявленных при введении реализации имущества гражданина. Постановлением Семнадцатого арбитражного апелляционного суда от 11.03.2022 определение суда первой инстанции оставлено без изменения. Арбитражный суд Уральского округа постановлением от 14.06.2022 указанные судебные акты оставил без изменения. ООО «НБК» обратилось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"НБК" (подробнее) ООО "Сентинел Кредит Менеджмент" (подробнее) ПАО "Росгосстрах банк" (подробнее) Иные лица: Ассоциация арбитражных управляющих "Солидарность" (подробнее) Межрайонная инспекция Федеральной налоговой службы №1 по Пермскому краю (подробнее) САМОРЕГУЛИРУЕМАЯ ОРГАНИЗАЦИЯ "АССОЦИАЦИЯ АРБИТРАЖНЫХ УПРАВЛЯЮЩИХ "ПАРИТЕТ"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