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«Российский Сельскохозяйственный банк» обратилось в суд с заявлением о взыскании убытков с бывшего конкурсного управляющего должником Церенова Н.А. в размере 3 861 096 рублей 09 копеек. Определением Арбитражного суда Республики Калмыкия от 25.11.2021, оставленным без изменения постановлениями Шестнадцатого арбитражного апелляционного суда от 24.02.2022 и Арбитражного суда Северо-Кавказского округа от 20.05.2022, требования удовлетворены. В кассационных жалобах, поданных в Верховный Суд Российской Федерации, заявители просят отменить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статьи 15 Гражданского кодекса Российской Федерации, пункта 4 статьи 20.4 Федерального закона от 26.10.2002 № 127-ФЗ «О несостоятельности (банкротстве), а также результатами судебной экспертизы, исходили наличия оснований для удовлетворения требований, признав доказанным наличие причинно-следственной связи между убытками на стороне должника и его кредитора в указанном размере и действиями (бездействием) Церенова Н.А., незаконность которых установлена в ранее рассмотренном обособленном споре.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Церенову Нарану Александровичу и некоммерческому партнерству-союзу межрегиональной саморегулируемой организации профессиональных арбитражных управляющих «Альянс Управляющих»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