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20.10.2021 в удовлетворении первоначального и встречного исков отказано. Постановлением Одиннадцатого арбитражного апелляционного суда от 25.01.2022 решение суда первой инстанции отменено в части отказа в удовлетворении первоначального иска, в этой части принят новый судебный акт, с общества в пользу учреждения взыскано 25 000 000 руб. долга, в остальной части решение суда оставлено без изменения. Постановлением Арбитражного суда Поволжского округа от 26.05.2022 постановление суда апелляционной инстанции оставлено без изменения. 2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об отказе в удовлетворении первоначального иска и удовлетворении встречных требований.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Удовлетворяя первоначальный иск и отказывая в удовлетворении встречных требований, суд апелляционной инстанции,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исходил из установленных обстоятельств, свидетельствующих о наличии у общества задолженности за выполненные учреждением работы и недоказанности на стороне последнего неосновательного обогащения. Суд округа поддержал выводы апелляционного суда и дал правовую оценку доводам заявителя. Доводы кассационной жалобы с учетом конкретных обстоятельств спора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«Фирма «МВЕН»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