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Пермского края от 13.10.2021, оставленным без изменения постановлением Семнадцатого арбитражного апелляционного суда от 09.02.2022 и постановлением Арбитражного суда Уральского округа от 18.05.2022, заявления удовлетворены частично. В кассационной жалобе Березин Р.И., Ежов Ю.В., Гарифуллин И.М., Гарифуллин И.И. просят об отмене судебных актов, ссылаясь на нарушение в исследовании и оценке доказательств в отношении аренды квартиры должника.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Вопросы доказывания и оценки доказательств, на которых построены доводы жалобы, не попадают под указанные основания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Березину Р.И., Ежову Ю.В., Гарифуллину И.М., Гарифуллину 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