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02.12.2021, оставленным без изменения постановлением Девятого арбитражного апелляционного суда от 04.03.2022 и постановлением Арбитражного суда Московского округа от 07.06.2022, утвержден порядок продажи квартиры должника. В кассационной жалобе Самойлова Д.В. просит об отмене судебных актов, ссылаясь на то, что реализация спорного имущества нарушает ее права как бывшей супруги должника и права общих несовершеннолетних детей.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Права и интересы заявительницы защищены в силу пункта 7 статьи 213.26 Федерального закона от 26.10.2002 № 127-ФЗ «О несостоятельности (банкротстве)». Доводы, приведенные в кассационной жалобе, являлись предметом рассмотрения судов, получили правовую оценку и не попадают под основания для пересмотра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Самойловой Диане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