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22.12.2021, оставленным без изменения постановлением Десятого арбитражного апелляционного суда от 09.02.2022 и постановлением Арбитражного суда Московского округа от 23.05.2022, иск удовлетворен. В кассационной жалобе предприниматель просит об отмене судебных актов, ссылаясь на неисследование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Убытки в связи с утратой груза возложены на ответчика по факту принятия груза к перевозке и недоказанности обстоятельств, освобождающих от ответственности в соответствии со статьями 15 , 393 , 401 , 793 , 796 Гражданского кодекса Российской Федерации. В нарушение требования статьи 796 Гражданского кодекса Российской Федерации предприниматель не доказал непричастности к повреждению принятого к перевозке груза. Возражения заявителя рассмотрены судами, получили правовую оценку и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"Евроторг"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