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Девятый арбитражный апелляционный суд определением от 15.03.2021 перешел к рассмотрению дела по правилам, установленным для суда первой инстанции, и постановлением от 21.12.2021 признал заявление банка обоснованным, ввел в отношении должника процедуру реструктуризации долгов и включил требование банка в размере 64 349 858 рублей 76 копеек в третью очередь реестра как обеспеченное залогом имущества должника. Арбитражный суд Московского округа постановлением от 17.05.2022 постановление апелляционного суда от 21.12.2021 оставил без изменения. В кассационной жалобе Шевчук М.А. просит об отмене судебных актов, ссылаясь на недоказанность неплатежеспособности и наличия обязательства перед банком.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апелляционного суда об обоснованности заявления о банкротстве должника и размере подлежащей включению в реестр задолженности основаны на представленных доказательствах и соответствуют статьям 213.3, 213.5, 213.6 Федерального закона от 26.10.2002 № 127-ФЗ «О несостоятельности (банкротстве)». Иная оценка обстоятельств дела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Шевчук М.А.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