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30.11.2021 в удовлетворении заявления отказано. Постановлением Девятого арбитражного апелляционного суда от 29.03.2022, оставленным без изменения и постановлением Арбитражного суда Московского округа от 06.07.2022, определение отменено, заявление удовлетворено, применены последствия недействительности сделки. В кассационных жалобах заявители просят об отмене судебных актов вследствие неправильной оценки обстоятельств заключения оспариваемой сделки и предъявления требования к ненадлежащему ответчику.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Суды, исследовав обстоятельства заключения договора, признали их создающими условия для недействительности сделки в силу пункта 2 статьи 61.2 Федерального закона от 26.10.2002 № 127-ФЗ «О несостоятельности (банкротстве)». Суды установили, что ассоциация является стороной оспариваемого договора, вследствие чего надлежащим ответчиком. Доводы рассматриваемых кассационных жалоб повторяют доводы, заявленные судам, получили правовую оценку и не составляют оснований для пересмотра судебных актов Верховным Судом Российской Федерации в кассационном порядке. Отказ в пересмотре судебных актов исключает приостановление их исполнения, о котором ходатайствует ассоциация.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адвокатов «Адвокатское бюро ЕМПП города Москвы», Мазурову Дмитрию Петровичу, Трегубову Василию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