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(жилья) «Березовая роща 6» (далее – Товарищество)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«МС.Сервис» (далее – Общество) о взыскании 914 866 рублей 44 копеек неосновательного обогащения, 30 329 рублей 17 копеек процентов за пользование чужими денежными средствами за период с 14.11.2019 по 31.05.2020 с их последующим начислением по день фактического исполнения обязательства. Решением Арбитражного суда города Москвы от 18.10.2021, оставленным без изменения постановлением Девятого арбитражного апелляционного суда от 25.01.2022 и постановлением Арбитражного суда Московского округа от 18.05.2022,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у истца отсутствует задолженность перед ответчиком; Общество выставляло счета по завышенным тарифам.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01.01.2018 года между Товариществом (заказчик) и Обществом (исполнитель) заключен договор управления многоквартирным домом (далее – договор), по условиям которого исполнитель по заданию заказчика в течение согласованного договором срока за плату обязался оказывать услуги и выполнять работы по надлежащему содержанию и ремонту общего имущества в многоквартирном доме, предоставлять коммунальные и иные услуги собственникам (нанимателям, арендаторам) в соответствии с пунктами 3.1.2-3.1.4 договора, осуществлять иную направленную на достижение целей управления МКД деятельность. Также 01.01.2018 года между сторонами заключен договор № 1 на возмещение расходов по содержанию и обслуживанию нежилого помещения, по которому истец принял на себя обязательство возмещать ответчику понесенные им расходы на содержание и обслуживание помещения охраны. В период управления многоквартирным домом (далее – МКД) с 01.01.2018 по 30.09.2019 Компания начисляла собственникам помещений МКД плату за содержание и ремонт помещений, за коммунальные и иные услуги, в том числе за отопление и подогрев холодной воды, плату за охрану, взносы в резервный фонд и целевые взносы на ремонт холла. Соглашением от 23.07.2019 стороны расторгли договор. Ссылаясь на неправомерное удержание Компанией денежных средств, полученных от жителей в период управления МКД с 01.01.2018 по 30.09.2019, Товарищество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1102 Гражданского кодекса Российской Федерации, суды отказали в удовлетворении требований исходя из того, что на дату рассмотрения спора сальдо взаимных обязательств сторон складывалось в пользу Компании; Товариществом не представлено доказательств, бесспорно подтверждающих приобретение или сбережение ответчиком взыскиваемой суммы без установленных законом или договором оснований. Доводы кассационной жалобы не свидетельствуют о допущенных судами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(жилья) «Березовая роща 6»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