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28.12.2022, оставленным без изменения постановлением Второго арбитражного апелляционного суда от 13.04.2022 и постановлением Арбитражного суда Волго-Вятского округа от 05.07.2022, в удовлетворении заявления Соколова Н.М. об исправлении описки, допущенной в определении Арбитражного суда Костромской области от 25.03.2021,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Изменение существа мотивировочной части определения, требуемое Соколовым Н.М., не укладывается в пределы статьи 179 Арбитражного процессуального кодекса Российской Федерации, поэтому в ее применении к заявленным обстоятельствам отказано.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