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02.07.2021 требование включено в четвертую очередь реестра в сумме 22 200 000 рублей основного долга. Одиннадцатый арбитражный апелляционный суд постановлением от 22.11.2021 изменил определение от 02.07.202, включив требование в четвертую очередь реестра в сумме 24 200 000 рублей основного долга. Арбитражный суд Поволжского округа постановлением от 18.05.2022 постановление апелляционного суда от 22.11.2021 оставил без изменения. В кассационной жалобе общество «Наш продукт» просит об отмене судебных актов, ссылаясь на неправомерное непризнание за ним статуса участника долевого строительства и залогового кредитора. 2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усматривается. Суды правильно истолковали и применили к требованиям кредитора нормы Федерального закона от 26.10.2002 № 127-ФЗ «О несостоятельности (банкротстве)» о банкротстве застройщика в редакции Федерального закона от 27.06.2019 № 151-ФЗ. Залоговый статус требования не обсуждался в связи с отсутствием заявления о нем.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«Наш 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