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09.12.2021, оставленным без изменения постановлением Девятого арбитражного апелляционного суда от 08.02.2022, иск удовлетворен. Постановлением Арбитражного суда Московского округа от 07.06.2022 решение суда первой инстанции и постановление суда апелляционной инстанции отменены, дело направлено на новое рассмотрение в Арбитражный суд города Москвы. В кассационной жалобе, поданной в Верховный Суд Российской Федерации, общество, ссылаясь на нарушение судом округа норм права, просит отменить его постановление и оставить в силе решение суда первой инстанции и постановление суда апелляционной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2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обжалуемого судебного акта и доводов кассационной жалобы не установлено. Отменяя судебные акты судов первой и апелляционной инстанций и направляя дело на новое рассмотрение, суд округа, не принимая судебного акта по существу спора, исходил из того, что суды не исследовали все обстоятельства, имеющие существенное значение для правильного разрешения спора. Обжалуемое постановление суда округа принято в пределах полномочий, предоставленных арбитражному суду округа (статьи 286, 287 Арбитражного процессуального кодекса Российской Федерации).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не имеется. При новом рассмотрении дела заявитель не лишен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«НОВАТОРТЕХСТРОЙ»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