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- общество с ограниченной ответственностью «Единство» обратилось в суд с заявлением о признании недействительной сделкой погашение задолженности должника перед учреждением в сумме 5 644 085 рублей 21 копейка, применении последствий недействительности сделки. Определением Арбитражного суда города Москвы от 17.03.2022, оставленным без изменения постановлениями Девятого арбитражного апелляционного суда от 01.06.2022 и Арбитражного суда Московского округа от 10.08.2022, заявление удовлетворено, применены последствия недействительности сделки в виде взыскания с учреждения в пользу должника 5 644 085 рублей 21 копейки, восстановления задолженности перед учреждением в том же размере. Не согласившись с вышеуказанными судебными актами, учреждение обратилось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2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казённого учреждения «Войсковая часть 71330» о приостановлении исполнения определения Арбитражного суда города Москвы от 17.03.2022 по делу № А40-204302/2017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