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Вынесение судами нескольких решений о назначении административного наказания, подтвердивших факт неисполнения обществом предписания уполномоченного органа, не нарушило права и законные интересы общества и требования статьи 4.4 Кодекса Российской Федерации об административных правонарушениях, с учетом того, что в рамках рассматриваемого дела суд назначил наказание ниже низшего размера санкции части 15 статьи 19.5 Кодекса Российской Федерации об административных правонарушениях, а часть 1 статьи 19.5 Кодекса Российской Федерации об административных правонарушениях предусматривает наказание для юридических лиц – штраф в размере от десяти тысяч до двадцати тысяч рублей.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 Владимир»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Солнечногорский территориальный отдел Управления Роспотребнадзора по Московской области (подробнее) Солнечногорский территориальный отдел Управления Федеральной службы по надзору в сфере защиты прав потребителей и благополучия человека по Московской области (подробнее) Ответчики: ООО "Альфа Владимир"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