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03.12.2021, оставленным без изменения постановлением Четырнадцатого арбитражного апелляционного суда от 29.03.2022 и постановлением Арбитражного суда Северо-Западного округа от 11.07.2022,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выполнения институтом (подрядчик) работ по спорному договору и принятия их результата обществом (заказчик) без замечаний, отсутствие доказательств оплаты выполненных работ, руководствуясь статьями 753, 758, 760, 762 Гражданского кодекса Российской Федерации, суды первой и апелляционной инстанций пришли к выводу о наличии оснований для удовлетворения иска, с чем впоследствии согласился суд округа. Доводы заявителя о недействительности спорного договора были предметом рассмотрения судов апелляционной инстанции и округа и мотивированно отклонены.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«Межрегиональная инвестиционная компания»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