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Костромина Н.Н. в Арбитражный суд Свердловской области обратился должник с заявлением о разрешении разногласий с финансовым управляющим по вопросу выделения из конкурсной массы денежных средств в качестве прожиточного минимума. Определением Арбитражного суда Свердловской области от 10.01.2022 из конкурсной массы должника за счет сумм дохода исключены ежемесячно, начиная с 12.02.2021, денежные средства в размере не более прожиточного минимума, действующего на территории Свердловской области, при наличии денежных средств в конкурсной массе. Постановлением Семнадцатого арбитражного апелляционного суда от 04.03.2022 определение суда первой инстанции отменено, в удовлетворении заявления должника отказано. Арбитражный суд Уральского округа постановлением от 25.05.2022 постановление суда апелляционной инстанции оставил без изменения. Костромин Н.Н. обратился в Судебную коллегию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механизм обеспечения должника денежными средствами в размере прожиточного минимума, целью которого является сохранение необходимого уровня жизни должника в период проведения процедуры банкротства, используется должником для уменьшения конкурсной массы и ущемления прав кредиторов, суды апелляционной и кассационной инстанций пришли к выводу о том, что на данный момент оснований для выделения денежных средств из конкурсной массы в размере прожиточного минимума в отношении должника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