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20.01.2022, оставленным без изменения постановлением Четырнадцатого арбитражного апелляционного суда от 05.05.2022 и постановлением Арбитражного суда Северо-Западного округа от 14.07.2022, первоначальные исковые требования удовлетворены, в удовлетворении встречного иска отказано. 2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факт выполнения институтом (подрядчик) работ по спорному договору и принятия их результата обществом (заказчик) без каких-либо замечаний. При таких обстоятельствах, принимая во внимание отсутствие доказательств оплаты обществом выполненных институтом работ, не установив оснований для признания спорного договора недействительным, руководствуясь статьями 8, 12, 166, 329, 330, 753, 758, 760, 761, 762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пришли к выводу об обоснованности первоначальных исковых требований, отказав в удовлетворении встречного иска.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3 291.6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«Межрегиональная инвестиционная компания»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