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Калашника А.А. в Арбитражный суд города Москвы обратился кредитор – Герасов П.В. с заявлением о признании недействительным договора дарения от 01.08.2019, заключенного между Калашник Е.А. (супругой должника) и Калашник А.А. (дочерью должника), и применении последствий недействительности сделки. Определением Арбитражного суда города Москвы от 25.11.2021 в удовлетворении заявления отказано. Постановлением Девятого арбитражного апелляционного суда от 09.02.2022 определение суда первой инстанции оставлено без изменения. Арбитражный суд Московского округа постановлением от 16.06.2022 указанные судебные акты оставил без изменения. Герасов П.В.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предмет договора – жилое помещение, которое является единственным пригодным для проживания должника и членов его семьи, не обременено залогом в пользу третьих лиц, обладает исполнительским иммунитетом в соответствии со статьей 446 Гражданского процессуального кодекса Российской Федерации, учитывая разъяснения, изложенные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об отказе в удовлетворении заявления о признании сделки в отношении указанного недвижимого имущества недействительной.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