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ее имуществом ФИО1 с заявлением о признании недействительной сделкой дарения 08.02.2021 денежных средств в размере 4 309 543 рублей должником в пользу ФИО3 (бывшего супруга). Определением Арбитражного суда города Москвы от 14.02.2022 в удовлетворении заявления отказано. Постановлением Девятого арбитражного апелляционного суда от 26.04.2022 определение суда первой инстанции оставлено без изменения. Арбитражный суд Московского округа постановлением от 15.07.2022 указанные судебные акты оставил без изменения. Финансовый управляющий имуществом должника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положениями Гражданского кодекса Российской Федерации,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отсутствия доказательств фактического дарения денежных средств и воли сторон, направленной на дарение спорной денежной суммы, а бездействие должника (не взыскание должником денежных средств с бывшего супруга) не является сделкой, подлежащей оспариванию в рамках дела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№26 по г. Москве (подробнее) ООО "Столичное агентство по возврату долгов" (подробнее) ООО "Югорское коллекторское агентство" (подробнее) Иные лица: Ассоциация СРО АУ Межрегиональная саморегулируемая организация профессиональных арбитражных управляющих Содействие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