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Смирнова Сергея Николаевича в Арбитражный суд Алтайского края обратилась Кряжева Е.В. (супруга должника) с заявлением об исключении имущества из конкурсной массы должника. Определением Арбитражного суда Алтайского края от 31.01.2022 в удовлетворении заявления отказано. Постановлением Седьмого арбитражного апелляционного суда от 05.04.2022 определение суда первой инстанции оставлено без изменения. Арбитражный суд Западно-Сибирского округа постановлением от 11.07.2022 указанные судебные акты оставил без изменения. Кряжева Е.В.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213.25, 213.26 Федерального закона от 26.10.2002 № 127-ФЗ «О несостоятельности (банкротстве)», статьями 34, 45, 46 Семейного кодекса Российской Федерации,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пришли к выводу, что спорное имущество не подлежит исключению из конкурсной массы, поскольку кредиторы, обязательства перед которыми возникли до заключения брачного договора, изменением режима имущества супругов не связаны.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