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его кредитор – банк обратился в суд с заявлением о взыскании с конкурсного управляющего должником Кочегаровой Анастасии Владиславовны убытков в размере 157 000 рублей. Определением Арбитражного суда Челябинской области от 29.10.2021, оставленным без изменения постановлениями Восемнадцатого арбитражного апелляционного суда от 15.02.2022 и Арбитражного суда Уральского округа от 18.05.2022,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20.4, 129 Федерального закона от 26.10.2002 № 127-ФЗ «О несостоятельности (банкротстве)», исходили из недоказанности совокупности условий, необходимых для привлечения к гражданско-правовой ответственности в виде возмещения убытков конкурсного управляющего, проанализировавшей обстоятельства совершения спорных сделок на предмет перспектив пополнения конкурсной массы и не усмотревшей оснований для их оспаривания.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акционерный коммерческий банк «Славия»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