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29.11.2021 завершена процедура реализации имущества гражданки Кравчук Н.В. и она освобождена от дальнейшего исполнения требований кредиторов, в том числе требований кредиторов, не заявленных при введении процедуры реализации имущества гражданина. Постановлением Тринадцатого арбитражного апелляционного суда от 03.02.2022 определение суда первой инстанции оставлено без изменения. Арбитражный суд Северо-Западного округа постановлением от 24.05.2022 указанные судебные акты оставил без изменения. Горбатов А.Н. обратился в Судебную коллегию Верховного Суда Российской Федерации с кассационной жалобой на принятые судебные акты в части освобождения должника от исполнения обязательств перед кредиторами,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Освобождая должника от дальнейшего исполнения требований кредиторов, суды руководствовались положениями статьи 213.28 Федерального закона от 26.10.2002 № 127-ФЗ «О несостоятельности (банкротстве)», разъяснениями, изложенными в пунктах 45,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отсутствия обстоятельств, свидетельствующих о противоправности действий должника, направленных на умышленное причинение ущерба кредиторам, уклонение от исполнения своих обязательств, сокрытие своего имущества и доходов, воспрепятствование деятельности финансового управляющего, недобросовестном поведении и признаках преднамеренного или фиктивного банкротства.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