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Балакиной К.И. в Арбитражный суд Нижегородской области обратилась должник с заявлением о признании отсутствующим права залога на земельный участок у ООО НПК «Скрудж». Определением Арбитражного суда Нижегородской области от 09.12.2021 в удовлетворении заявления отказано. Постановлением Первого арбитражного апелляционного суда от 28.02.2022 определение суда первой инстанции оставлено без изменения. Арбитражный суд Волго-Вятского округа постановлением от 31.05.2022 указанные судебные акты оставил без изменения. Балакина К.И.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первоначально требования ПАО КБ «Химик» включены судом в реестр требований кредиторов должника как требования, обеспеченные залогом имущества, и в результате уступки требования к новому кредитору (ООО НПК «Скрудж») помимо требований по кредитным обязательствам перешли и права, обеспечивающие это обязательство, в частности, права залогодержателя (определениями суда от 16.02.2018 и 24.07.2018 установлено процессуальное правопреемство и произведена замена банка на ООО НПК «Скрудж» в реестре требований кредиторов должника), суды отказали в удовлетворении заявления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