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имуществом должника Конюшок Д.В. обратился в Арбитражный суд города Москвы с заявлением о понуждении супруги должника - Паушок Л.С. передать в конкурсную массу имущество и денежные средства. Определением Арбитражного суда города Москвы от 08.12.2021 заявление удовлетворено; на Паушок Л.С. возложена обязанность передать финансовому управляющему для включения в конкурсную массу должника спорные объекты недвижимого имущества (земельный участок для индивидуального жилищного строительства, здание жилое, 1394/10000 идеальных долей недвижимого имущества); с Паушок Л.С. взысканы денежные средства, полученные от реализации объектов недвижимого имущества, 50 процентов от денежных средств, находящихся на расчетных счетах, депозитах и вкладах, открытых на ее имя, 50 процентов от денежных средств, поступивших на ее расчетные счета, депозиты и вклады, израсходованных за период с 08.02.2018 по настоящее время. 2 Постановлением Девятого арбитражного апелляционного суда от 16.02.2022 определение суда первой инстанции оставлено без изменения. Арбитражный суд Московского округа постановлением от 15.06.2022 указанные судебные акты отменил в части взыскания с Паушок Л.С. в конкурсную массу должника 50 процентов от денежных средств, находящихся на расчетных счетах, депозитах и вкладах, открытых на ее имя, 50 процентов от денежных средств, поступивших на расчетные счета, депозиты и вклады Паушок Л.С., израсходованных за период с 08.02.2018 по дату исполнения судебного акта, и в указанной части обособленный спор направил на новое рассмотрение в Арбитражный суд города Москвы; в остальной части принятые по спору судебные акты оставил без изменения. Паушок С.В. и Паушок Л.С. обратились в Судебную коллегию Верховного Суда Российской Федерации с кассационными жалобами на принятые по спору судебные акты в части удовлетворения заявления финансового управляющего,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ней, не установлено. Разрешая спор, суды руководствовались положениями пункта 7 статьи 213.26 Федерального закона от 26.10.2002 № 127-ФЗ «О несостоятельности (банкротстве)», статьи 308.3 Гражданского кодекса Российской Федерации, разъяснениями, изложенными в пунктах 7,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пришли к выводу, что супруга должника обязана передать имущество, перешедшее к ней на основании брачного договора, а также иное имущество, нажитое в период брака, в конкурсную массу должника, в том числе половину стоимости реализованных объектов. 3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