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Кировской области от 28.01.2022 завершена процедура реализации имущества гражданина в отношении Русинова Е.А., к должнику не применено правило об освобождении от дальнейшего исполнения обязательств перед Федеральной налоговой службой. Постановлением Второго арбитражного апелляционного суда от 24.03.2022 определение суда первой инстанции оставлено без изменения. Арбитражный суд Волго-Вятского округа постановлением от 21.06.2022 указанные судебные акты оставил без изменения. Русинов Е.А.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наличия исключений для освобождения должника от обязательств перед кредиторами, предусмотренных абзацем четвертым пункта 4 статьи 213.28 Федерального закона «О несостоятельности (банкротстве)». В частности, судами установлено, что задолженность перед уполномоченным органом возникла у должника вследствие недобросовестных и противоправных действий, направленных на незаконное уклонение от уплаты налогов.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