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Тихонова Дмитрия Владимировича в Арбитражный суд Свердловской области обратился финансовый управляющий имуществом должника с заявлениями, уточненными в порядке статьи 49 Арбитражного процессуального кодекса Российской Федерации, о признании недействительными сделок должника: договора уступки прав (цессии) от 30.08.2016 между должником и Степановым С.С., в соответствии с которым должник передал (уступил) ответчику права требования к жилищно-строительному кооперативу «Поселок Маршал» на сумму 25 500 000 рублей; договора уступки прав (цессии) от 24.12.2018 между должником и Степановым С.С., в соответствии с которым должник передал (уступил) ответчику права требования к ЖСК «Поселок Маршал» на сумму 22 520 760 рублей; расписки, выданной должником на имя Степанова С.С., о получении денежных средств в размере 25 500 000 рублей, датированной 2016 г., и расписки, выданной должником на имя Степанова С.С., о получении денежных средств в размере 22 520 760 рублей, датированной 2018 г. 2 Определением Арбитражного суда Свердловской области от 11.09.2020 указанные требования объединены в одно производство для совместного рассмотрения. Определением Арбитражного суда Свердловской области от 11.01.2022 заявленные требования удовлетворены; договоры уступки прав (требования) от 30.08.2016 и от 24.12.2018, а также расписки о передаче денежных средств признаны недействительными сделками; применены последствия недействительности сделок в виде восстановления права требования должника к ЖСК «Поселок Маршал» в размере 48 020 760 рублей. Постановлением Семнадцатого арбитражного апелляционного суда от 04.03.2022 определение суда первой инстанции оставлено без изменения. Арбитражный суд Уральского округа постановлением от 30.05.2022 указанные судебные акты оставил без изменения. Степанов С.С.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 168, 170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 исходили из мнимости спорных сделок, в том числе ввиду неподтвержденности финансовой возможности Степанова С.С. предоставить должнику равноценное встречное предоставление.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