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Кабанова А.Б. в Арбитражный суд города Москвы обратилось ООО «ЮБ «Конкордия» с заявлением о замене кредитора – Чернова В.Ю., требования которого включены в реестр требований кредиторов должника. Определением Арбитражного суда города Москвы от 17.11.2021 заявление удовлетворено; произведена замена кредитора – Чернова В.Ю. на его правопреемника – ООО «ЮБ «Конкордия». Постановлением Девятого арбитражного апелляционного суда от 09.03.2022 определение суда первой инстанции оставлено без изменения. Арбитражный суд Московского округа постановлением от 31.05.2022 указанные судебные акты оставил без изменения. Кабанов А.Б.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382, 383, 384 Гражданского кодекса Российской Федерации и исходили из наличия оснований для проведения процессуального правопреемства ввиду замены стороны в материальном правоотношении.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