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13.09.2022 обратился в Верховный Суд Российской Федерации с жалобой на определение судьи Верховного Суда Российской Федерации от 26.07.2022 № 309-ЭС22-11802, решение Арбитражного суда Челябинской области от 15.09.2021, постановление Восемнадцатого арбитражного апелляционного суда от 13.12.2021 и постановление Арбитражного суда Уральского округа от 23.03.2022 по делу № А76-12129/2021,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«Электрощит Р»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