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03.12.2021 завершена процедура реализации имущества гражданина Волкова А.Б. и должник освобожден от дальнейшего исполнения требований кредиторов, в том числе не заявленных при введении процедуры реализации имущества гражданина. Постановлением Первого арбитражного апелляционного суда от 11.03.2022 определение суда первой инстанции оставлено без изменения. Арбитражный суд Волго-Вятского округа постановлением от 10.06.2022 указанные судебные акты оставил без изменения. ООО «НБК» обратилось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