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«БМ-Банк» (далее – банк) обратилось в суд с заявлением о включении в реестр требований кредиторов должника (далее – реестр) задолженности в размере 51 784 950 рублей 59 копеек как требования, обеспеченного залогом следующего имущества должника: квартиры, общей площадью 87,2 кв. м., кадастровый номер 50:56:0010101:345; нежилого помещения, общая площадь 243,8 кв. м., кадастровый номер 50:56:0010101:342; нежилого помещения, общая площадь 153,4 кв. м., кадастровый номер: 50:56:0010101:346; нежилого помещения, общая площадь 158,0 кв. м., кадастровый номер 50:56:0010101:344. Определением Арбитражного суда Московской области от 26.11.2021, оставленным без изменения постановлениями Десятого арбитражного апелляционного суда от 21.02.2022 и Арбитражного суда Московского округа от 18.05.2022, требование банка признано обоснованным и включено в четвертую очередь реестра как требование, обеспеченное залогом указанного имущества. В кассационной жалобе, поданной в Верховный Суд Российской Федерации, заявитель просит отменить названные судебные акты и направить 2 обособленный спор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71, 100 и 201.9 Федерального закона от 26.10.2002 № 127-ФЗ «О несостоятельности (банкротстве)», пришли к выводу об обоснованности и подтверждённости требований банка к должнику в заявленном размере и, как следствие, признали наличие оснований для их включения в четвёртую очередь реестра, отклонив доводы конкурсного управляющего должником о наличии оснований для отказа в удовлетворении части требований банка. Доводы заявителя, изложенные в настоящей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«Жилсоцстрой» Тулинову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