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об увеличении суммы фиксированного вознаграждения до 50 000 рублей в месяц начиная с момента введения процедуры банкротства (26.06.2017) и до её окончания, а также с заявлением об установлении процентов по вознаграждению в размере 930 320 рублей 13 копеек. Данные заявления объединены в одно производство для совместного рассмотрения. Определением Арбитражного суда Липецкой области от 15.11.2021, оставленным без изменения постановлениями Девятнадцатого арбитражного апелляционного суда от 21.01.2022 и Арбитражного суда Центрального округа от 02.06.2022, удовлетворены требования в части установления процентов по вознаграждению, отказано в удовлетворении требований об увеличении ежемесячного размера вознаграждения.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требований и удовлетворить требования в полном объёме.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20.6 Федерального закона от 26.10.2002 № 127-ФЗ «О несостоятельности (банкротстве)», пришли к выводу об отсутствии оснований для повышения размера фиксированного вознаграждения конкурсного управляющего должком по заявленным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«Винный погребок» Масловой Светлане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