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«Акселерейшн Инжиниринг» (далее – Общество) обратилось в Арбитражный суд города Москвы с иском к Горину Максиму Васильевичу о взыскании 1 779 204 рублей убытков. Решением Арбитражного суда города Москвы от 03.12.2021, оставленным без изменения постановлением Девятого арбитражного апелляционного суда от 10.02.2022 и постановлением Арбитражного суда Московского округа от 20.05.2022,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ответчик уклонялся от совершения действий по передаче автомобиля и его постановке на учет; уменьшение рыночной стоимости транспортного средства находится в прямой зависимости с действиями Горина М.В. Общество несло расходы по аренде транспортного средства, приобретенного на замену, предприняло все зависящие от него действия по истребованию имущества, которое незаконно удерживал бывший генеральный директор.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28.03.2017 по 01.08.2019 полномочия генерального директора Общества осуществлял Горин М.В. В обоснование заявленных требований истец указал, что транспортное средство марки «Тойота Камри», 2013 года выпуска, VIN XW7BF4FK80S04269, транспортное средство) принадлежит Обществу с 19.06.2018. При увольнении Горина М.В. с должности генерального директора транспортное средство Обществу не передано. Возврат имущества по акту приема-передачи состоялся только 23.06.2021, в связи с чем истец был вынужден арендовать транспортное средство Skoda Octavia VIN TMBHA21Z862240418 у общества с ограниченной ответственностью «Акселерейшн консалтинг» (далее – Компания) в период с 15.09.2019 по 14.06.2021 за 51 724 рубля ежемесячно. Согласно представленным в материалы дела истцом отчетам об оценке транспортного средства от 08.04.2020 № 2004/76; от 19.07.2021 № 2106/928 рыночная стоимость автомобиля Тойота Камри по состоянию на 07.04.2020 составляла 1 211 000 рублей, на настоящее время – 518 000 рублей. Размер арендной платы за другое транспортное средство и разница в рыночной стоимости спорного имущества, по мнению истца, являются убытками Общества, в связи с чем последний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Такую же обязанность несут члены коллегиальных органов юридического лица (наблюдательного или иного совета, правления и т.п.) 3 Согласно пункту 3 статьи 53.1 Гражданского кодекса лицо, которое в силу закона, иного правового акта или учредительного документа юридического лица уполномочено выступать от его имени (пункт 3 статьи 53),обязано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Согласно пункту 2 статьи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Руководствуясь названными выше положениями действующего законодательства, регулирующими спорные отношения, суды отказали в удовлетворении требований, придя к выводу об отсутствии необходимой совокупности условий для привлечения ответчика к гражданско-правовой ответственности в виде взыскания убытков, установив, что транспортное средство Горин М.В. в период с 01.07.2019 по 23.06.2021 не эксплуатировал; до приобретения автомобиля Тойота Камри истцом спорное имущество находилось в пользовании; автомобиль эксплуатировался сотрудниками Общества с повреждениями, что подтверждается сведениями о фактах ДТП, размещенными на официальном сайте ГИБДД РФ; согласно отчету об оценке транспортного средства от 10.06.2021 № 1.21.83, заказанному ответчиком при передаче транспортного средства истцу, рыночная стоимость автомобиля Тойота Камри с учетом износа и повреждений составляет 1 211 033 рублей, таким образом рыночная стоимость транспортного средства в период с 15.09.2019 по 23.06.2021, вопреки доводам истца, не уменьшилась. Кроме того, судами принято во внимание, что спорное транспортное средство истец приобрел по договору купли-продажи автомобиля от 19.06.2018 за 100 000 рублей. В части заявленных истцом убытков, связанных с расходами на аренду транспортного средства, суды констатировали, что данные убытки не 4 подтверждены, принимая во внимание, что данный договор заключен между заинтересованными лицами (Обществом и Компанией).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«Акселерейшн 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