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Гапоненко О.А. в Арбитражный суд города Санкт-Петербурга и Ленинградской области обратилось ООО «ПК Конструктив» с заявлением о включении в реестр требований кредиторов должника 13 052 689 рублей 54 копеек задолженности. Определением Арбитражного суда города Санкт-Петербурга и Ленинградской области от 30.12.2021 требование общества включено в третью очередь реестра требований кредиторов должника. Постановлением Тринадцатого арбитражного апелляционного суда от 28.03.2022 определение суда первой инстанции оставлено без изменения. Арбитражный суд Северо-Западного округа постановлением от 28.06.2022 указанные судебные акты оставил без изменения. Гапоненко О.А. обратился в Судебную коллегию по экономическим спорам Верховного Суда Российской Федерации с кассационной жалобой на принятые по спору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Признавая требование кредитора обоснованным и подлежащим включению в реестр требований кредиторов должника, суды руководствовались положениями статей 71, 100, 213.24 Федерального закона от 26.10.2002 № 127-ФЗ «О несостоятельности (банкротстве)», статьей 807 Гражданского кодекса Российской Федерации,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и исходили из доказанности перечисления должнику денежных средств по договорам займа и неисполнения должником обязательств по возврату заемных денежных средств, признав срок исковой давности не пропущенным.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